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3.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D2D8D7" w14:textId="77777777" w:rsidR="00FE067E" w:rsidRDefault="00CD36CF" w:rsidP="00AA5443">
      <w:pPr>
        <w:pStyle w:val="TitlePageOrigin"/>
        <w:ind w:firstLine="720"/>
      </w:pPr>
      <w:r>
        <w:t>WEST virginia legislature</w:t>
      </w:r>
    </w:p>
    <w:p w14:paraId="04D55E0A" w14:textId="77777777" w:rsidR="00CD36CF" w:rsidRDefault="00CD36CF" w:rsidP="00EF6030">
      <w:pPr>
        <w:pStyle w:val="TitlePageSession"/>
      </w:pPr>
      <w:r>
        <w:t>20</w:t>
      </w:r>
      <w:r w:rsidR="006565E8">
        <w:t>2</w:t>
      </w:r>
      <w:r w:rsidR="00AF09E0">
        <w:t>4</w:t>
      </w:r>
      <w:r>
        <w:t xml:space="preserve"> regular session</w:t>
      </w:r>
    </w:p>
    <w:p w14:paraId="1D7803C9" w14:textId="395FA2F2" w:rsidR="009A1D97" w:rsidRDefault="009A1D97" w:rsidP="00EF6030">
      <w:pPr>
        <w:pStyle w:val="TitlePageBillPrefix"/>
      </w:pPr>
      <w:r>
        <w:t>Engrossed</w:t>
      </w:r>
    </w:p>
    <w:p w14:paraId="08856660" w14:textId="4267A6D5" w:rsidR="00CD36CF" w:rsidRDefault="00AC3B58" w:rsidP="00EF6030">
      <w:pPr>
        <w:pStyle w:val="TitlePageBillPrefix"/>
      </w:pPr>
      <w:r>
        <w:t>Committee Substitute</w:t>
      </w:r>
    </w:p>
    <w:p w14:paraId="00B521F5" w14:textId="77777777" w:rsidR="00AC3B58" w:rsidRPr="00AC3B58" w:rsidRDefault="00AC3B58" w:rsidP="00EF6030">
      <w:pPr>
        <w:pStyle w:val="TitlePageBillPrefix"/>
      </w:pPr>
      <w:r>
        <w:t>for</w:t>
      </w:r>
    </w:p>
    <w:p w14:paraId="3FE46682" w14:textId="539245CA" w:rsidR="00CD36CF" w:rsidRDefault="00EF296A" w:rsidP="00EF6030">
      <w:pPr>
        <w:pStyle w:val="BillNumber"/>
      </w:pPr>
      <w:sdt>
        <w:sdtPr>
          <w:tag w:val="Chamber"/>
          <w:id w:val="893011969"/>
          <w:lock w:val="sdtLocked"/>
          <w:placeholder>
            <w:docPart w:val="D4FE052CCD864C34BE7AB3246C35499B"/>
          </w:placeholder>
          <w:dropDownList>
            <w:listItem w:displayText="House" w:value="House"/>
            <w:listItem w:displayText="Senate" w:value="Senate"/>
          </w:dropDownList>
        </w:sdtPr>
        <w:sdtEndPr/>
        <w:sdtContent>
          <w:r w:rsidR="00C545C4">
            <w:t>Senate</w:t>
          </w:r>
        </w:sdtContent>
      </w:sdt>
      <w:r w:rsidR="00303684">
        <w:t xml:space="preserve"> </w:t>
      </w:r>
      <w:r w:rsidR="00CD36CF">
        <w:t xml:space="preserve">Bill </w:t>
      </w:r>
      <w:sdt>
        <w:sdtPr>
          <w:tag w:val="BNum"/>
          <w:id w:val="1645317809"/>
          <w:lock w:val="sdtLocked"/>
          <w:placeholder>
            <w:docPart w:val="5597D9E26DCC4C3E8FCCFE2E6B2CDBC9"/>
          </w:placeholder>
          <w:text/>
        </w:sdtPr>
        <w:sdtEndPr/>
        <w:sdtContent>
          <w:r w:rsidR="00C545C4" w:rsidRPr="00C545C4">
            <w:t>601</w:t>
          </w:r>
        </w:sdtContent>
      </w:sdt>
    </w:p>
    <w:p w14:paraId="0DEBBDF8" w14:textId="45BE5E3E" w:rsidR="00C545C4" w:rsidRDefault="00C545C4" w:rsidP="00EF6030">
      <w:pPr>
        <w:pStyle w:val="References"/>
        <w:rPr>
          <w:smallCaps/>
        </w:rPr>
      </w:pPr>
      <w:r>
        <w:rPr>
          <w:smallCaps/>
        </w:rPr>
        <w:t>By Senators Grady, Boley, Chapman, Rucker, Roberts, Swope, Phillips, Karnes, Taylor, Stuart, Tarr, Woodrum, Martin, Hunt, Maynard</w:t>
      </w:r>
      <w:r w:rsidR="00587979">
        <w:rPr>
          <w:smallCaps/>
        </w:rPr>
        <w:t>,</w:t>
      </w:r>
      <w:r w:rsidR="00587979" w:rsidRPr="00587979">
        <w:rPr>
          <w:smallCaps/>
        </w:rPr>
        <w:t xml:space="preserve"> </w:t>
      </w:r>
      <w:r w:rsidR="00587979">
        <w:rPr>
          <w:smallCaps/>
        </w:rPr>
        <w:t>and Deeds</w:t>
      </w:r>
    </w:p>
    <w:p w14:paraId="22C14656" w14:textId="36AE1254" w:rsidR="00C545C4" w:rsidRDefault="00CD36CF" w:rsidP="00EF6030">
      <w:pPr>
        <w:pStyle w:val="References"/>
      </w:pPr>
      <w:r>
        <w:t>[</w:t>
      </w:r>
      <w:r w:rsidR="00002112">
        <w:t xml:space="preserve">Originating in the Committee on </w:t>
      </w:r>
      <w:sdt>
        <w:sdtPr>
          <w:tag w:val="References"/>
          <w:id w:val="-1043047873"/>
          <w:placeholder>
            <w:docPart w:val="B5DA62DD4A8A44E88FA93B820EE390C6"/>
          </w:placeholder>
          <w:text w:multiLine="1"/>
        </w:sdtPr>
        <w:sdtEndPr/>
        <w:sdtContent>
          <w:r w:rsidR="00E908F8">
            <w:t>t</w:t>
          </w:r>
          <w:r w:rsidR="002E5FC5">
            <w:t>he Judiciary</w:t>
          </w:r>
        </w:sdtContent>
      </w:sdt>
      <w:r w:rsidR="00002112">
        <w:t xml:space="preserve">; reported </w:t>
      </w:r>
      <w:sdt>
        <w:sdtPr>
          <w:id w:val="-32107996"/>
          <w:placeholder>
            <w:docPart w:val="BBCD3DC62AA2418782513BADD4EAD79D"/>
          </w:placeholder>
          <w:text/>
        </w:sdtPr>
        <w:sdtEndPr/>
        <w:sdtContent>
          <w:r w:rsidR="00E908F8">
            <w:t>February 26, 2024</w:t>
          </w:r>
        </w:sdtContent>
      </w:sdt>
      <w:r>
        <w:t>]</w:t>
      </w:r>
    </w:p>
    <w:p w14:paraId="61C7BD04" w14:textId="77777777" w:rsidR="00C545C4" w:rsidRDefault="00C545C4" w:rsidP="00C545C4">
      <w:pPr>
        <w:pStyle w:val="TitlePageOrigin"/>
      </w:pPr>
    </w:p>
    <w:p w14:paraId="098FD1E3" w14:textId="27E39B40" w:rsidR="00C545C4" w:rsidRDefault="00C545C4" w:rsidP="00C545C4">
      <w:pPr>
        <w:pStyle w:val="TitlePageOrigin"/>
        <w:rPr>
          <w:color w:val="auto"/>
        </w:rPr>
      </w:pPr>
    </w:p>
    <w:p w14:paraId="46E43D9E" w14:textId="77777777" w:rsidR="009A1D97" w:rsidRDefault="009A1D97" w:rsidP="00C545C4">
      <w:pPr>
        <w:pStyle w:val="TitlePageOrigin"/>
        <w:rPr>
          <w:color w:val="auto"/>
        </w:rPr>
      </w:pPr>
    </w:p>
    <w:p w14:paraId="03671267" w14:textId="77777777" w:rsidR="009A1D97" w:rsidRPr="002427B2" w:rsidRDefault="009A1D97" w:rsidP="00C545C4">
      <w:pPr>
        <w:pStyle w:val="TitlePageOrigin"/>
        <w:rPr>
          <w:color w:val="auto"/>
        </w:rPr>
      </w:pPr>
    </w:p>
    <w:p w14:paraId="66C44D03" w14:textId="792E907A" w:rsidR="009A1D97" w:rsidRDefault="009A1D97" w:rsidP="009A1D97">
      <w:pPr>
        <w:spacing w:after="0" w:line="480" w:lineRule="auto"/>
        <w:ind w:left="720" w:hanging="720"/>
        <w:jc w:val="both"/>
        <w:rPr>
          <w:rFonts w:ascii="Arial" w:hAnsi="Arial" w:cs="Arial"/>
        </w:rPr>
      </w:pPr>
      <w:r w:rsidRPr="009A1D97">
        <w:rPr>
          <w:rFonts w:ascii="Arial" w:hAnsi="Arial" w:cs="Arial"/>
        </w:rPr>
        <w:lastRenderedPageBreak/>
        <w:t>A BILL to amend the Code of West Virginia, 1931, as amended, by adding thereto a new article, designated §16-67-1, §16-67-2, §16-67-3, §16-67-4, and §16-67-5, relating only to statutory construction creating the Women’s Bill of Rights; providing a short title and statement of purpose; defining terms; establishing rules of construction for statutes and ordinances addressing sex discrimination, sex equality</w:t>
      </w:r>
      <w:r>
        <w:rPr>
          <w:rFonts w:ascii="Arial" w:hAnsi="Arial" w:cs="Arial"/>
        </w:rPr>
        <w:t>,</w:t>
      </w:r>
      <w:r w:rsidRPr="009A1D97">
        <w:rPr>
          <w:rFonts w:ascii="Arial" w:hAnsi="Arial" w:cs="Arial"/>
        </w:rPr>
        <w:t xml:space="preserve"> and sex specific benefits or services; declaring state interest in single sex environments; establishing rules of construction in statutes and ordinances related to the sex of a person or persons; and creating protocols for data collection</w:t>
      </w:r>
      <w:r>
        <w:rPr>
          <w:rFonts w:ascii="Arial" w:hAnsi="Arial" w:cs="Arial"/>
        </w:rPr>
        <w:t>.</w:t>
      </w:r>
    </w:p>
    <w:p w14:paraId="0646DD5A" w14:textId="53D67E9E" w:rsidR="00C545C4" w:rsidRPr="009A1D97" w:rsidRDefault="00C545C4" w:rsidP="009A1D97">
      <w:pPr>
        <w:suppressLineNumbers/>
        <w:spacing w:after="0" w:line="480" w:lineRule="auto"/>
        <w:jc w:val="both"/>
        <w:rPr>
          <w:rFonts w:ascii="Arial" w:hAnsi="Arial" w:cs="Arial"/>
          <w:i/>
        </w:rPr>
      </w:pPr>
      <w:r w:rsidRPr="009A1D97">
        <w:rPr>
          <w:rFonts w:ascii="Arial" w:hAnsi="Arial" w:cs="Arial"/>
          <w:i/>
        </w:rPr>
        <w:t>Be it enacted by the Legislature of West Virginia:</w:t>
      </w:r>
    </w:p>
    <w:p w14:paraId="624BF5CB" w14:textId="77777777" w:rsidR="00564FB1" w:rsidRPr="00836BD2" w:rsidRDefault="00564FB1" w:rsidP="00564FB1">
      <w:pPr>
        <w:pStyle w:val="ArticleHeading"/>
        <w:widowControl/>
        <w:jc w:val="center"/>
        <w:rPr>
          <w:rFonts w:cs="Arial"/>
          <w:sz w:val="28"/>
          <w:szCs w:val="24"/>
        </w:rPr>
      </w:pPr>
      <w:r w:rsidRPr="00836BD2">
        <w:rPr>
          <w:rFonts w:cs="Arial"/>
          <w:sz w:val="28"/>
          <w:szCs w:val="24"/>
        </w:rPr>
        <w:t>chapter 16. publ</w:t>
      </w:r>
      <w:r>
        <w:rPr>
          <w:rFonts w:cs="Arial"/>
          <w:sz w:val="28"/>
          <w:szCs w:val="24"/>
        </w:rPr>
        <w:t>I</w:t>
      </w:r>
      <w:r w:rsidRPr="00836BD2">
        <w:rPr>
          <w:rFonts w:cs="Arial"/>
          <w:sz w:val="28"/>
          <w:szCs w:val="24"/>
        </w:rPr>
        <w:t>c health.</w:t>
      </w:r>
    </w:p>
    <w:p w14:paraId="17214FBB" w14:textId="77777777" w:rsidR="00564FB1" w:rsidRPr="00836BD2" w:rsidRDefault="00564FB1" w:rsidP="00564FB1">
      <w:pPr>
        <w:pStyle w:val="ArticleHeading"/>
        <w:widowControl/>
        <w:rPr>
          <w:rFonts w:cs="Arial"/>
          <w:u w:val="single"/>
        </w:rPr>
      </w:pPr>
      <w:r w:rsidRPr="00836BD2">
        <w:rPr>
          <w:rFonts w:cs="Arial"/>
          <w:u w:val="single"/>
        </w:rPr>
        <w:t>Article 67. West Virginia Women's Bill of Rights Act.</w:t>
      </w:r>
    </w:p>
    <w:p w14:paraId="73FC6A62" w14:textId="77777777" w:rsidR="00564FB1" w:rsidRDefault="00564FB1" w:rsidP="00564FB1">
      <w:pPr>
        <w:rPr>
          <w:rFonts w:eastAsia="Calibri"/>
          <w:b/>
          <w:caps/>
          <w:color w:val="000000"/>
          <w:sz w:val="24"/>
          <w:u w:val="single"/>
        </w:rPr>
        <w:sectPr w:rsidR="00564FB1" w:rsidSect="00564FB1">
          <w:footerReference w:type="even" r:id="rId8"/>
          <w:footerReference w:type="default" r:id="rId9"/>
          <w:type w:val="continuous"/>
          <w:pgSz w:w="12240" w:h="15840"/>
          <w:pgMar w:top="1440" w:right="1440" w:bottom="1440" w:left="1440" w:header="720" w:footer="720" w:gutter="0"/>
          <w:lnNumType w:countBy="1" w:restart="newSection"/>
          <w:cols w:space="720"/>
        </w:sectPr>
      </w:pPr>
    </w:p>
    <w:p w14:paraId="358A2D4F" w14:textId="77777777" w:rsidR="00564FB1" w:rsidRPr="00836BD2" w:rsidRDefault="00564FB1" w:rsidP="00564FB1">
      <w:pPr>
        <w:pStyle w:val="SectionHeading"/>
        <w:widowControl/>
        <w:rPr>
          <w:rFonts w:cs="Arial"/>
          <w:u w:val="single"/>
        </w:rPr>
      </w:pPr>
      <w:r w:rsidRPr="00836BD2">
        <w:rPr>
          <w:rFonts w:cs="Arial"/>
          <w:u w:val="single"/>
        </w:rPr>
        <w:t>§16-67-1. Short title; purposes; general application.</w:t>
      </w:r>
    </w:p>
    <w:p w14:paraId="10F90558" w14:textId="36F70EE6" w:rsidR="00564FB1" w:rsidRPr="00836BD2" w:rsidRDefault="00564FB1" w:rsidP="00564FB1">
      <w:pPr>
        <w:pStyle w:val="SectionBody"/>
        <w:widowControl/>
        <w:rPr>
          <w:rFonts w:cs="Arial"/>
          <w:u w:val="single"/>
        </w:rPr>
      </w:pPr>
      <w:r w:rsidRPr="00836BD2">
        <w:rPr>
          <w:rFonts w:cs="Arial"/>
          <w:u w:val="single"/>
        </w:rPr>
        <w:t>(a) This act shall be known</w:t>
      </w:r>
      <w:r w:rsidR="009A1D97">
        <w:rPr>
          <w:rFonts w:cs="Arial"/>
          <w:u w:val="single"/>
        </w:rPr>
        <w:t>,</w:t>
      </w:r>
      <w:r w:rsidRPr="00836BD2">
        <w:rPr>
          <w:rFonts w:cs="Arial"/>
          <w:u w:val="single"/>
        </w:rPr>
        <w:t xml:space="preserve"> and may be cited as</w:t>
      </w:r>
      <w:r w:rsidR="009A1D97">
        <w:rPr>
          <w:rFonts w:cs="Arial"/>
          <w:u w:val="single"/>
        </w:rPr>
        <w:t>,</w:t>
      </w:r>
      <w:r w:rsidRPr="00836BD2">
        <w:rPr>
          <w:rFonts w:cs="Arial"/>
          <w:u w:val="single"/>
        </w:rPr>
        <w:t xml:space="preserve"> the West Virginia Women’s Bill of Rights.</w:t>
      </w:r>
    </w:p>
    <w:p w14:paraId="3C4ECC0C" w14:textId="77777777" w:rsidR="00564FB1" w:rsidRPr="00836BD2" w:rsidRDefault="00564FB1" w:rsidP="00564FB1">
      <w:pPr>
        <w:pStyle w:val="SectionBody"/>
        <w:widowControl/>
        <w:rPr>
          <w:rFonts w:cs="Arial"/>
          <w:u w:val="single"/>
        </w:rPr>
      </w:pPr>
      <w:r w:rsidRPr="00836BD2">
        <w:rPr>
          <w:rFonts w:cs="Arial"/>
          <w:u w:val="single"/>
        </w:rPr>
        <w:t>(b) The purpose of the West Virginia Women’s Bill of Rights is to bring clarity, certainty, and uniformity to the laws of the state regarding sex discrimination, equality of the sexes, and benefits or services specifically provided to males and to females.</w:t>
      </w:r>
    </w:p>
    <w:p w14:paraId="35F6C259" w14:textId="77777777" w:rsidR="00564FB1" w:rsidRPr="00836BD2" w:rsidRDefault="00564FB1" w:rsidP="00564FB1">
      <w:pPr>
        <w:pStyle w:val="SectionBody"/>
        <w:widowControl/>
        <w:rPr>
          <w:rFonts w:cs="Arial"/>
          <w:u w:val="single"/>
        </w:rPr>
      </w:pPr>
      <w:r w:rsidRPr="00836BD2">
        <w:rPr>
          <w:rFonts w:cs="Arial"/>
          <w:u w:val="single"/>
        </w:rPr>
        <w:t xml:space="preserve">(c) The West Virginia Women’s Bill of Rights applies wherever West Virginia, or an instrumentality of the state, classifies people </w:t>
      </w:r>
      <w:proofErr w:type="gramStart"/>
      <w:r w:rsidRPr="00836BD2">
        <w:rPr>
          <w:rFonts w:cs="Arial"/>
          <w:u w:val="single"/>
        </w:rPr>
        <w:t>on the basis of</w:t>
      </w:r>
      <w:proofErr w:type="gramEnd"/>
      <w:r w:rsidRPr="00836BD2">
        <w:rPr>
          <w:rFonts w:cs="Arial"/>
          <w:u w:val="single"/>
        </w:rPr>
        <w:t xml:space="preserve"> sex or otherwise defines people as being female or male, women or men, girls or boys; the definitions contained in §16-67-2 of this code apply.</w:t>
      </w:r>
    </w:p>
    <w:p w14:paraId="568AAFF1" w14:textId="77777777" w:rsidR="00564FB1" w:rsidRPr="00836BD2" w:rsidRDefault="00564FB1" w:rsidP="00564FB1">
      <w:pPr>
        <w:pStyle w:val="SectionHeading"/>
        <w:widowControl/>
        <w:rPr>
          <w:rFonts w:cs="Arial"/>
          <w:u w:val="single"/>
        </w:rPr>
      </w:pPr>
      <w:r w:rsidRPr="00836BD2">
        <w:rPr>
          <w:rFonts w:cs="Arial"/>
          <w:u w:val="single"/>
        </w:rPr>
        <w:t>§16-67-2. Definitions of terms used in statutory construction.</w:t>
      </w:r>
    </w:p>
    <w:p w14:paraId="218C81B3" w14:textId="77777777" w:rsidR="00564FB1" w:rsidRPr="00836BD2" w:rsidRDefault="00564FB1" w:rsidP="00564FB1">
      <w:pPr>
        <w:rPr>
          <w:rFonts w:eastAsia="Calibri"/>
          <w:b/>
          <w:color w:val="000000"/>
          <w:u w:val="single"/>
        </w:rPr>
        <w:sectPr w:rsidR="00564FB1" w:rsidRPr="00836BD2">
          <w:footerReference w:type="default" r:id="rId10"/>
          <w:type w:val="continuous"/>
          <w:pgSz w:w="12240" w:h="15840"/>
          <w:pgMar w:top="1440" w:right="1440" w:bottom="1440" w:left="1440" w:header="720" w:footer="720" w:gutter="0"/>
          <w:lnNumType w:countBy="1" w:restart="newSection"/>
          <w:cols w:space="720"/>
        </w:sectPr>
      </w:pPr>
    </w:p>
    <w:p w14:paraId="26587F01" w14:textId="77777777" w:rsidR="00564FB1" w:rsidRPr="00836BD2" w:rsidRDefault="00564FB1" w:rsidP="00564FB1">
      <w:pPr>
        <w:pStyle w:val="SectionBody"/>
        <w:widowControl/>
        <w:rPr>
          <w:rFonts w:cs="Arial"/>
          <w:u w:val="single"/>
        </w:rPr>
      </w:pPr>
      <w:r w:rsidRPr="00836BD2">
        <w:rPr>
          <w:rFonts w:cs="Arial"/>
          <w:u w:val="single"/>
        </w:rPr>
        <w:t>(a) Notwithstanding any provision of law to the contrary, with respect to the application of an individual’s biological sex pursuant to any state laws, rules, regulations, or official public policies, the following shall apply:</w:t>
      </w:r>
    </w:p>
    <w:p w14:paraId="2C0D0E13" w14:textId="77777777" w:rsidR="00564FB1" w:rsidRPr="00836BD2" w:rsidRDefault="00564FB1" w:rsidP="00564FB1">
      <w:pPr>
        <w:pStyle w:val="SectionBody"/>
        <w:widowControl/>
        <w:rPr>
          <w:rFonts w:cs="Arial"/>
          <w:u w:val="single"/>
        </w:rPr>
      </w:pPr>
      <w:r w:rsidRPr="00836BD2">
        <w:rPr>
          <w:rFonts w:cs="Arial"/>
          <w:u w:val="single"/>
        </w:rPr>
        <w:lastRenderedPageBreak/>
        <w:t xml:space="preserve">(1) An individual’s “sex” means such individual’s biological sex, either male or female, at </w:t>
      </w:r>
      <w:proofErr w:type="gramStart"/>
      <w:r w:rsidRPr="00836BD2">
        <w:rPr>
          <w:rFonts w:cs="Arial"/>
          <w:u w:val="single"/>
        </w:rPr>
        <w:t>birth;</w:t>
      </w:r>
      <w:proofErr w:type="gramEnd"/>
    </w:p>
    <w:p w14:paraId="0BE1B809" w14:textId="77777777" w:rsidR="00564FB1" w:rsidRPr="00836BD2" w:rsidRDefault="00564FB1" w:rsidP="00564FB1">
      <w:pPr>
        <w:pStyle w:val="SectionBody"/>
        <w:widowControl/>
        <w:rPr>
          <w:rFonts w:cs="Arial"/>
          <w:u w:val="single"/>
        </w:rPr>
      </w:pPr>
      <w:r w:rsidRPr="00836BD2">
        <w:rPr>
          <w:rFonts w:cs="Arial"/>
          <w:u w:val="single"/>
        </w:rPr>
        <w:t xml:space="preserve">(2) A "female", when used in reference to a natural person, is an individual who has, had, will have, or would have (but for a developmental anomaly, genetic anomaly, or accident) the reproductive system that at some point produces </w:t>
      </w:r>
      <w:proofErr w:type="gramStart"/>
      <w:r w:rsidRPr="00836BD2">
        <w:rPr>
          <w:rFonts w:cs="Arial"/>
          <w:u w:val="single"/>
        </w:rPr>
        <w:t>ova;</w:t>
      </w:r>
      <w:proofErr w:type="gramEnd"/>
    </w:p>
    <w:p w14:paraId="6D5DEF88" w14:textId="77777777" w:rsidR="00564FB1" w:rsidRPr="00836BD2" w:rsidRDefault="00564FB1" w:rsidP="00564FB1">
      <w:pPr>
        <w:pStyle w:val="SectionBody"/>
        <w:widowControl/>
        <w:rPr>
          <w:rFonts w:cs="Arial"/>
          <w:u w:val="single"/>
        </w:rPr>
      </w:pPr>
      <w:r w:rsidRPr="00836BD2">
        <w:rPr>
          <w:rFonts w:cs="Arial"/>
          <w:u w:val="single"/>
        </w:rPr>
        <w:t xml:space="preserve">(3) A “male” when used in reference to a natural person, means an individual who has, had, will have, or would have (but for a developmental anomaly, genetic anomaly, or accident) the reproductive system that at some point produces </w:t>
      </w:r>
      <w:proofErr w:type="gramStart"/>
      <w:r w:rsidRPr="00836BD2">
        <w:rPr>
          <w:rFonts w:cs="Arial"/>
          <w:u w:val="single"/>
        </w:rPr>
        <w:t>sperm;</w:t>
      </w:r>
      <w:proofErr w:type="gramEnd"/>
    </w:p>
    <w:p w14:paraId="47BB326F" w14:textId="77777777" w:rsidR="00564FB1" w:rsidRPr="00836BD2" w:rsidRDefault="00564FB1" w:rsidP="00564FB1">
      <w:pPr>
        <w:pStyle w:val="SectionBody"/>
        <w:widowControl/>
        <w:rPr>
          <w:rFonts w:cs="Arial"/>
          <w:u w:val="single"/>
        </w:rPr>
      </w:pPr>
      <w:r w:rsidRPr="00836BD2">
        <w:rPr>
          <w:rFonts w:cs="Arial"/>
          <w:u w:val="single"/>
        </w:rPr>
        <w:t xml:space="preserve">(4) A “woman" is an adult human of the female sex, and a "man" is an adult human of the male </w:t>
      </w:r>
      <w:proofErr w:type="gramStart"/>
      <w:r w:rsidRPr="00836BD2">
        <w:rPr>
          <w:rFonts w:cs="Arial"/>
          <w:u w:val="single"/>
        </w:rPr>
        <w:t>sex;</w:t>
      </w:r>
      <w:proofErr w:type="gramEnd"/>
    </w:p>
    <w:p w14:paraId="738ABA3E" w14:textId="77777777" w:rsidR="00564FB1" w:rsidRPr="00836BD2" w:rsidRDefault="00564FB1" w:rsidP="00564FB1">
      <w:pPr>
        <w:pStyle w:val="SectionBody"/>
        <w:widowControl/>
        <w:rPr>
          <w:rFonts w:cs="Arial"/>
          <w:u w:val="single"/>
        </w:rPr>
      </w:pPr>
      <w:r w:rsidRPr="00836BD2">
        <w:rPr>
          <w:rFonts w:cs="Arial"/>
          <w:u w:val="single"/>
        </w:rPr>
        <w:t xml:space="preserve">(5) A "girl" is a human female who has not yet reached adulthood, and a "boy" is a human male who has not yet reached </w:t>
      </w:r>
      <w:proofErr w:type="gramStart"/>
      <w:r w:rsidRPr="00836BD2">
        <w:rPr>
          <w:rFonts w:cs="Arial"/>
          <w:u w:val="single"/>
        </w:rPr>
        <w:t>adulthood;</w:t>
      </w:r>
      <w:proofErr w:type="gramEnd"/>
    </w:p>
    <w:p w14:paraId="2C17C846" w14:textId="77777777" w:rsidR="00564FB1" w:rsidRPr="00836BD2" w:rsidRDefault="00564FB1" w:rsidP="00564FB1">
      <w:pPr>
        <w:pStyle w:val="SectionBody"/>
        <w:widowControl/>
        <w:rPr>
          <w:rFonts w:cs="Arial"/>
          <w:u w:val="single"/>
        </w:rPr>
      </w:pPr>
      <w:r w:rsidRPr="00836BD2">
        <w:rPr>
          <w:rFonts w:cs="Arial"/>
          <w:u w:val="single"/>
        </w:rPr>
        <w:t xml:space="preserve">(6) A "mother" is a female parent of a child or children as those terms are defined in this code; a "father" is a male parent of a child or children as those terms are defined in this </w:t>
      </w:r>
      <w:proofErr w:type="gramStart"/>
      <w:r w:rsidRPr="00836BD2">
        <w:rPr>
          <w:rFonts w:cs="Arial"/>
          <w:u w:val="single"/>
        </w:rPr>
        <w:t>code;</w:t>
      </w:r>
      <w:proofErr w:type="gramEnd"/>
    </w:p>
    <w:p w14:paraId="276AE0B3" w14:textId="77777777" w:rsidR="00564FB1" w:rsidRPr="00836BD2" w:rsidRDefault="00564FB1" w:rsidP="00564FB1">
      <w:pPr>
        <w:pStyle w:val="SectionBody"/>
        <w:widowControl/>
        <w:rPr>
          <w:rFonts w:cs="Arial"/>
          <w:u w:val="single"/>
        </w:rPr>
      </w:pPr>
      <w:r w:rsidRPr="00836BD2">
        <w:rPr>
          <w:rFonts w:cs="Arial"/>
          <w:u w:val="single"/>
        </w:rPr>
        <w:t xml:space="preserve">(7) "Equal" does not mean "same" or "identical" with respect to equality of the </w:t>
      </w:r>
      <w:proofErr w:type="gramStart"/>
      <w:r w:rsidRPr="00836BD2">
        <w:rPr>
          <w:rFonts w:cs="Arial"/>
          <w:u w:val="single"/>
        </w:rPr>
        <w:t>sexes;</w:t>
      </w:r>
      <w:proofErr w:type="gramEnd"/>
    </w:p>
    <w:p w14:paraId="4A3B0081" w14:textId="77777777" w:rsidR="00564FB1" w:rsidRPr="00836BD2" w:rsidRDefault="00564FB1" w:rsidP="00564FB1">
      <w:pPr>
        <w:pStyle w:val="SectionBody"/>
        <w:widowControl/>
        <w:rPr>
          <w:rFonts w:cs="Arial"/>
          <w:u w:val="single"/>
        </w:rPr>
      </w:pPr>
      <w:r w:rsidRPr="00836BD2">
        <w:rPr>
          <w:rFonts w:cs="Arial"/>
          <w:u w:val="single"/>
        </w:rPr>
        <w:t>(8) A person's "sex" is his or her biological sex (either male or female) at birth.</w:t>
      </w:r>
    </w:p>
    <w:p w14:paraId="548F27A8" w14:textId="77777777" w:rsidR="00564FB1" w:rsidRPr="00836BD2" w:rsidRDefault="00564FB1" w:rsidP="00564FB1">
      <w:pPr>
        <w:pStyle w:val="SectionBody"/>
        <w:widowControl/>
        <w:rPr>
          <w:rFonts w:cs="Arial"/>
          <w:u w:val="single"/>
        </w:rPr>
      </w:pPr>
      <w:r w:rsidRPr="00836BD2">
        <w:rPr>
          <w:rFonts w:cs="Arial"/>
          <w:u w:val="single"/>
        </w:rPr>
        <w:t xml:space="preserve">(A) There are only two sexes, and every individual is either male or </w:t>
      </w:r>
      <w:proofErr w:type="gramStart"/>
      <w:r w:rsidRPr="00836BD2">
        <w:rPr>
          <w:rFonts w:cs="Arial"/>
          <w:u w:val="single"/>
        </w:rPr>
        <w:t>female;</w:t>
      </w:r>
      <w:proofErr w:type="gramEnd"/>
    </w:p>
    <w:p w14:paraId="12F14D39" w14:textId="77777777" w:rsidR="00564FB1" w:rsidRPr="00836BD2" w:rsidRDefault="00564FB1" w:rsidP="00564FB1">
      <w:pPr>
        <w:pStyle w:val="SectionBody"/>
        <w:widowControl/>
        <w:rPr>
          <w:rFonts w:cs="Arial"/>
          <w:u w:val="single"/>
        </w:rPr>
      </w:pPr>
      <w:r w:rsidRPr="00836BD2">
        <w:rPr>
          <w:rFonts w:cs="Arial"/>
          <w:u w:val="single"/>
        </w:rPr>
        <w:t>(B) "Sex" is objective and fixed; and</w:t>
      </w:r>
    </w:p>
    <w:p w14:paraId="4E2C3A7B" w14:textId="77777777" w:rsidR="00564FB1" w:rsidRPr="00836BD2" w:rsidRDefault="00564FB1" w:rsidP="00564FB1">
      <w:pPr>
        <w:pStyle w:val="SectionBody"/>
        <w:widowControl/>
        <w:rPr>
          <w:rFonts w:cs="Arial"/>
          <w:u w:val="single"/>
        </w:rPr>
      </w:pPr>
      <w:r w:rsidRPr="00836BD2">
        <w:rPr>
          <w:rFonts w:cs="Arial"/>
          <w:u w:val="single"/>
        </w:rPr>
        <w:t>(C) "Sex" does not include "gender identity" or any other terms intended to convey a person’s subjective sense of self; "gender identity" and other subjective terms may not be used as synonyms or substitutes for "sex".</w:t>
      </w:r>
    </w:p>
    <w:p w14:paraId="11CC520F" w14:textId="77777777" w:rsidR="00564FB1" w:rsidRPr="00836BD2" w:rsidRDefault="00564FB1" w:rsidP="00564FB1">
      <w:pPr>
        <w:pStyle w:val="SectionBody"/>
        <w:widowControl/>
        <w:rPr>
          <w:rFonts w:cs="Arial"/>
          <w:u w:val="single"/>
        </w:rPr>
      </w:pPr>
      <w:r w:rsidRPr="00836BD2">
        <w:rPr>
          <w:rFonts w:cs="Arial"/>
          <w:u w:val="single"/>
        </w:rPr>
        <w:t>(b) Individuals with "differences in sex development" (also known as "DSD" or "intersex conditions") are not a third sex. Individuals with a congenital and medically verifiable DSD diagnosis must be accommodated consistent with state and federal law.</w:t>
      </w:r>
    </w:p>
    <w:p w14:paraId="6674C6F7" w14:textId="77777777" w:rsidR="00564FB1" w:rsidRPr="00836BD2" w:rsidRDefault="00564FB1" w:rsidP="00564FB1">
      <w:pPr>
        <w:pStyle w:val="SectionHeading"/>
        <w:widowControl/>
        <w:tabs>
          <w:tab w:val="left" w:pos="7063"/>
        </w:tabs>
        <w:rPr>
          <w:rFonts w:cs="Arial"/>
          <w:u w:val="single"/>
        </w:rPr>
      </w:pPr>
      <w:r w:rsidRPr="00836BD2">
        <w:rPr>
          <w:rFonts w:cs="Arial"/>
          <w:u w:val="single"/>
        </w:rPr>
        <w:t>§16-67-3. Sex discrimination; single-sex environments.</w:t>
      </w:r>
    </w:p>
    <w:p w14:paraId="2901D071" w14:textId="77777777" w:rsidR="00564FB1" w:rsidRPr="00836BD2" w:rsidRDefault="00564FB1" w:rsidP="00564FB1">
      <w:pPr>
        <w:rPr>
          <w:rFonts w:eastAsia="Calibri"/>
          <w:b/>
          <w:color w:val="000000"/>
          <w:u w:val="single"/>
        </w:rPr>
        <w:sectPr w:rsidR="00564FB1" w:rsidRPr="00836BD2">
          <w:footerReference w:type="default" r:id="rId11"/>
          <w:type w:val="continuous"/>
          <w:pgSz w:w="12240" w:h="15840"/>
          <w:pgMar w:top="1440" w:right="1440" w:bottom="1440" w:left="1440" w:header="720" w:footer="720" w:gutter="0"/>
          <w:lnNumType w:countBy="1" w:restart="newSection"/>
          <w:cols w:space="720"/>
        </w:sectPr>
      </w:pPr>
    </w:p>
    <w:p w14:paraId="45A6494E" w14:textId="77777777" w:rsidR="00564FB1" w:rsidRPr="00836BD2" w:rsidRDefault="00564FB1" w:rsidP="00564FB1">
      <w:pPr>
        <w:pStyle w:val="SectionBody"/>
        <w:widowControl/>
        <w:rPr>
          <w:rFonts w:cs="Arial"/>
          <w:u w:val="single"/>
        </w:rPr>
      </w:pPr>
      <w:r w:rsidRPr="00836BD2">
        <w:rPr>
          <w:rFonts w:cs="Arial"/>
          <w:u w:val="single"/>
        </w:rPr>
        <w:lastRenderedPageBreak/>
        <w:t xml:space="preserve">(a) Any state policy, program, or statute that prohibits sex discrimination shall be construed to pertain to females or males. </w:t>
      </w:r>
    </w:p>
    <w:p w14:paraId="17570F67" w14:textId="77777777" w:rsidR="00564FB1" w:rsidRPr="00836BD2" w:rsidRDefault="00564FB1" w:rsidP="00564FB1">
      <w:pPr>
        <w:pStyle w:val="SectionBody"/>
        <w:widowControl/>
        <w:rPr>
          <w:rFonts w:cs="Arial"/>
          <w:u w:val="single"/>
        </w:rPr>
      </w:pPr>
      <w:r w:rsidRPr="00836BD2">
        <w:rPr>
          <w:rFonts w:cs="Arial"/>
          <w:u w:val="single"/>
        </w:rPr>
        <w:t xml:space="preserve">(b)  Because the state has an important interest in preventing unjust discrimination and in maintaining safety, privacy, and fairness, West Virginia and its political subdivisions and instrumentalities may provide separate single-sex environments. </w:t>
      </w:r>
    </w:p>
    <w:p w14:paraId="01F6A2A3" w14:textId="77777777" w:rsidR="00564FB1" w:rsidRPr="00836BD2" w:rsidRDefault="00564FB1" w:rsidP="00564FB1">
      <w:pPr>
        <w:pStyle w:val="SectionBody"/>
        <w:widowControl/>
        <w:rPr>
          <w:rFonts w:cs="Arial"/>
          <w:u w:val="single"/>
        </w:rPr>
      </w:pPr>
      <w:r w:rsidRPr="00836BD2">
        <w:rPr>
          <w:rFonts w:cs="Arial"/>
          <w:u w:val="single"/>
        </w:rPr>
        <w:t>(c) Wherever West Virginia or its political subdivisions or instrumentalities, in fact, provide separate single-sex environments for males and females, the definitions established in §16-67-2 of this code must apply.</w:t>
      </w:r>
    </w:p>
    <w:p w14:paraId="6DC9EDE0" w14:textId="77777777" w:rsidR="00564FB1" w:rsidRPr="00836BD2" w:rsidRDefault="00564FB1" w:rsidP="00564FB1">
      <w:pPr>
        <w:pStyle w:val="SectionHeading"/>
        <w:widowControl/>
        <w:rPr>
          <w:rFonts w:cs="Arial"/>
          <w:u w:val="single"/>
        </w:rPr>
      </w:pPr>
      <w:r w:rsidRPr="00836BD2">
        <w:rPr>
          <w:rFonts w:cs="Arial"/>
          <w:u w:val="single"/>
        </w:rPr>
        <w:t>§16-67-4. Data collection.</w:t>
      </w:r>
    </w:p>
    <w:p w14:paraId="76B7A016" w14:textId="77777777" w:rsidR="00564FB1" w:rsidRPr="00836BD2" w:rsidRDefault="00564FB1" w:rsidP="00564FB1">
      <w:pPr>
        <w:rPr>
          <w:rFonts w:eastAsia="Calibri"/>
          <w:b/>
          <w:color w:val="000000"/>
          <w:u w:val="single"/>
        </w:rPr>
        <w:sectPr w:rsidR="00564FB1" w:rsidRPr="00836BD2">
          <w:footerReference w:type="default" r:id="rId12"/>
          <w:type w:val="continuous"/>
          <w:pgSz w:w="12240" w:h="15840"/>
          <w:pgMar w:top="1440" w:right="1440" w:bottom="1440" w:left="1440" w:header="720" w:footer="720" w:gutter="0"/>
          <w:lnNumType w:countBy="1" w:restart="newSection"/>
          <w:cols w:space="720"/>
        </w:sectPr>
      </w:pPr>
    </w:p>
    <w:p w14:paraId="7D856A8B" w14:textId="77777777" w:rsidR="00564FB1" w:rsidRPr="00836BD2" w:rsidRDefault="00564FB1" w:rsidP="00564FB1">
      <w:pPr>
        <w:pStyle w:val="SectionBody"/>
        <w:widowControl/>
        <w:rPr>
          <w:rFonts w:cs="Arial"/>
          <w:u w:val="single"/>
        </w:rPr>
      </w:pPr>
      <w:r w:rsidRPr="00836BD2">
        <w:rPr>
          <w:rFonts w:cs="Arial"/>
          <w:u w:val="single"/>
        </w:rPr>
        <w:t xml:space="preserve">(a) Any </w:t>
      </w:r>
      <w:proofErr w:type="gramStart"/>
      <w:r w:rsidRPr="00836BD2">
        <w:rPr>
          <w:rFonts w:cs="Arial"/>
          <w:u w:val="single"/>
        </w:rPr>
        <w:t>public school, public school</w:t>
      </w:r>
      <w:proofErr w:type="gramEnd"/>
      <w:r w:rsidRPr="00836BD2">
        <w:rPr>
          <w:rFonts w:cs="Arial"/>
          <w:u w:val="single"/>
        </w:rPr>
        <w:t xml:space="preserve"> district, agency, department, or instrumentality of the state that collects vital statistics related to sex for the purpose of complying with state or federal anti-discrimination laws or for the purpose of gathering accurate public health, crime, economic, or other data shall identify each natural person who is part of the collected data set as either male or female as defined in this article.</w:t>
      </w:r>
    </w:p>
    <w:p w14:paraId="02554EC3" w14:textId="77777777" w:rsidR="00564FB1" w:rsidRPr="00836BD2" w:rsidRDefault="00564FB1" w:rsidP="00564FB1">
      <w:pPr>
        <w:pStyle w:val="SectionBody"/>
        <w:widowControl/>
        <w:rPr>
          <w:rFonts w:cs="Arial"/>
          <w:u w:val="single"/>
        </w:rPr>
      </w:pPr>
      <w:r w:rsidRPr="00836BD2">
        <w:rPr>
          <w:rFonts w:cs="Arial"/>
          <w:u w:val="single"/>
        </w:rPr>
        <w:t>(b) Compliance with this section shall not require the collection of data regarding sex unless otherwise required by law, and it shall not prevent the collection of additional data points other than biological sex.</w:t>
      </w:r>
    </w:p>
    <w:p w14:paraId="1DBB307C" w14:textId="77777777" w:rsidR="00564FB1" w:rsidRPr="00836BD2" w:rsidRDefault="00564FB1" w:rsidP="00564FB1">
      <w:pPr>
        <w:rPr>
          <w:rFonts w:eastAsia="Calibri"/>
          <w:color w:val="000000"/>
          <w:u w:val="single"/>
        </w:rPr>
        <w:sectPr w:rsidR="00564FB1" w:rsidRPr="00836BD2">
          <w:footerReference w:type="default" r:id="rId13"/>
          <w:type w:val="continuous"/>
          <w:pgSz w:w="12240" w:h="15840"/>
          <w:pgMar w:top="1440" w:right="1440" w:bottom="1440" w:left="1440" w:header="720" w:footer="720" w:gutter="0"/>
          <w:lnNumType w:countBy="1" w:restart="newSection"/>
          <w:cols w:space="720"/>
        </w:sectPr>
      </w:pPr>
    </w:p>
    <w:p w14:paraId="313FCDE1" w14:textId="77777777" w:rsidR="00564FB1" w:rsidRPr="00836BD2" w:rsidRDefault="00564FB1" w:rsidP="00564FB1">
      <w:pPr>
        <w:pStyle w:val="SectionBody"/>
        <w:widowControl/>
        <w:suppressLineNumbers/>
        <w:ind w:firstLine="0"/>
        <w:rPr>
          <w:rFonts w:cs="Arial"/>
          <w:b/>
          <w:bCs/>
          <w:u w:val="single"/>
        </w:rPr>
      </w:pPr>
      <w:r w:rsidRPr="00836BD2">
        <w:rPr>
          <w:rFonts w:cs="Arial"/>
          <w:b/>
          <w:bCs/>
          <w:u w:val="single"/>
        </w:rPr>
        <w:t>§16-67-5. Severability.</w:t>
      </w:r>
    </w:p>
    <w:p w14:paraId="77CA107E" w14:textId="77777777" w:rsidR="00564FB1" w:rsidRPr="00EF296A" w:rsidRDefault="00564FB1" w:rsidP="00EF296A">
      <w:pPr>
        <w:pStyle w:val="SectionBody"/>
        <w:widowControl/>
        <w:rPr>
          <w:rFonts w:cs="Arial"/>
          <w:u w:val="single"/>
        </w:rPr>
      </w:pPr>
      <w:r w:rsidRPr="00EF296A">
        <w:rPr>
          <w:rFonts w:cs="Arial"/>
          <w:u w:val="single"/>
        </w:rPr>
        <w:t>If any provision of this article, an amendment made by this article, or the application of such provision or amendment to any person or circumstance is held to be unconstitutional, the remainder of this article, the amendments made by this article, and the application of the provisions of such to any person or circumstance shall not be affected thereby.</w:t>
      </w:r>
    </w:p>
    <w:p w14:paraId="7F8BA737" w14:textId="097D8AEC" w:rsidR="00E831B3" w:rsidRDefault="00E831B3" w:rsidP="00564FB1">
      <w:pPr>
        <w:pStyle w:val="ChapterHeading"/>
      </w:pPr>
    </w:p>
    <w:sectPr w:rsidR="00E831B3" w:rsidSect="00564FB1">
      <w:headerReference w:type="even" r:id="rId14"/>
      <w:headerReference w:type="default" r:id="rId15"/>
      <w:footerReference w:type="even" r:id="rId16"/>
      <w:footerReference w:type="default" r:id="rId17"/>
      <w:headerReference w:type="first" r:id="rId18"/>
      <w:footerReference w:type="first" r:id="rId19"/>
      <w:type w:val="continuous"/>
      <w:pgSz w:w="12240" w:h="15840"/>
      <w:pgMar w:top="1440" w:right="1440" w:bottom="1440" w:left="1440" w:header="720" w:footer="720" w:gutter="0"/>
      <w:lnNumType w:countBy="1" w:restart="newSection"/>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648033" w14:textId="77777777" w:rsidR="00995DC9" w:rsidRPr="00B844FE" w:rsidRDefault="00995DC9" w:rsidP="00B844FE">
      <w:r>
        <w:separator/>
      </w:r>
    </w:p>
  </w:endnote>
  <w:endnote w:type="continuationSeparator" w:id="0">
    <w:p w14:paraId="05D98918" w14:textId="77777777" w:rsidR="00995DC9" w:rsidRPr="00B844FE" w:rsidRDefault="00995DC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F65D5" w14:textId="6FD6B598" w:rsidR="00564FB1" w:rsidRDefault="00564FB1" w:rsidP="006A4ED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sidR="009A1D97">
      <w:rPr>
        <w:rStyle w:val="PageNumber"/>
      </w:rPr>
      <w:fldChar w:fldCharType="separate"/>
    </w:r>
    <w:r w:rsidR="009A1D97">
      <w:rPr>
        <w:rStyle w:val="PageNumber"/>
        <w:noProof/>
      </w:rPr>
      <w:t>1</w:t>
    </w:r>
    <w:r>
      <w:rPr>
        <w:rStyle w:val="PageNumber"/>
      </w:rPr>
      <w:fldChar w:fldCharType="end"/>
    </w:r>
  </w:p>
  <w:p w14:paraId="78127444" w14:textId="77777777" w:rsidR="00564FB1" w:rsidRDefault="00564F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BF5AF" w14:textId="77777777" w:rsidR="00564FB1" w:rsidRDefault="00564FB1" w:rsidP="00C349C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554D257F" w14:textId="77777777" w:rsidR="00564FB1" w:rsidRDefault="00564FB1">
    <w:pPr>
      <w:pStyle w:val="Footer"/>
      <w:jc w:val="center"/>
    </w:pPr>
  </w:p>
  <w:p w14:paraId="0BA45AB2" w14:textId="77777777" w:rsidR="00564FB1" w:rsidRDefault="00564FB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BFC76" w14:textId="77777777" w:rsidR="00564FB1" w:rsidRDefault="00564FB1" w:rsidP="006A4ED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41A10532" w14:textId="77777777" w:rsidR="00564FB1" w:rsidRDefault="00564FB1">
    <w:pPr>
      <w:pStyle w:val="Footer"/>
      <w:jc w:val="center"/>
    </w:pPr>
  </w:p>
  <w:p w14:paraId="59513032" w14:textId="77777777" w:rsidR="00564FB1" w:rsidRDefault="00564FB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A3129" w14:textId="77777777" w:rsidR="00564FB1" w:rsidRDefault="00564FB1" w:rsidP="006A4ED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113CE417" w14:textId="77777777" w:rsidR="00564FB1" w:rsidRDefault="00564FB1">
    <w:pPr>
      <w:pStyle w:val="Footer"/>
      <w:jc w:val="center"/>
    </w:pPr>
  </w:p>
  <w:p w14:paraId="6806F2F0" w14:textId="77777777" w:rsidR="00564FB1" w:rsidRDefault="00564FB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DE82D" w14:textId="77777777" w:rsidR="00564FB1" w:rsidRDefault="00564FB1" w:rsidP="006A4ED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08A0B22F" w14:textId="77777777" w:rsidR="00564FB1" w:rsidRDefault="00564FB1">
    <w:pPr>
      <w:pStyle w:val="Footer"/>
      <w:jc w:val="center"/>
    </w:pPr>
  </w:p>
  <w:p w14:paraId="17E07285" w14:textId="77777777" w:rsidR="00564FB1" w:rsidRDefault="00564FB1">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EC00A" w14:textId="77777777" w:rsidR="00564FB1" w:rsidRDefault="00564FB1" w:rsidP="006A4ED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1E1A1953" w14:textId="77777777" w:rsidR="00564FB1" w:rsidRDefault="00564FB1">
    <w:pPr>
      <w:pStyle w:val="Footer"/>
      <w:jc w:val="center"/>
    </w:pPr>
  </w:p>
  <w:p w14:paraId="6A4A48E3" w14:textId="77777777" w:rsidR="00564FB1" w:rsidRDefault="00564FB1">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7FABB" w14:textId="77777777" w:rsidR="00C545C4" w:rsidRDefault="00C545C4" w:rsidP="003C597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FB80CA3" w14:textId="77777777" w:rsidR="00C545C4" w:rsidRPr="00C545C4" w:rsidRDefault="00C545C4" w:rsidP="00C545C4">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9169713"/>
      <w:temporary/>
      <w:showingPlcHdr/>
      <w15:appearance w15:val="hidden"/>
    </w:sdtPr>
    <w:sdtEndPr/>
    <w:sdtContent>
      <w:p w14:paraId="2030F78D" w14:textId="77777777" w:rsidR="00D378F8" w:rsidRDefault="00D378F8">
        <w:pPr>
          <w:pStyle w:val="Footer"/>
        </w:pPr>
        <w:r>
          <w:t>[Type here]</w:t>
        </w:r>
      </w:p>
    </w:sdtContent>
  </w:sdt>
  <w:p w14:paraId="7C5323D3" w14:textId="16BE10CE" w:rsidR="00C545C4" w:rsidRPr="00C545C4" w:rsidRDefault="00C545C4" w:rsidP="00C545C4">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D646B" w14:textId="77777777" w:rsidR="00C545C4" w:rsidRPr="00C545C4" w:rsidRDefault="00C545C4" w:rsidP="00C545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B08360" w14:textId="77777777" w:rsidR="00995DC9" w:rsidRPr="00B844FE" w:rsidRDefault="00995DC9" w:rsidP="00B844FE">
      <w:r>
        <w:separator/>
      </w:r>
    </w:p>
  </w:footnote>
  <w:footnote w:type="continuationSeparator" w:id="0">
    <w:p w14:paraId="55801BFC" w14:textId="77777777" w:rsidR="00995DC9" w:rsidRPr="00B844FE" w:rsidRDefault="00995DC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5DDEA" w14:textId="5658D082" w:rsidR="00C545C4" w:rsidRPr="00C545C4" w:rsidRDefault="00C545C4" w:rsidP="00C545C4">
    <w:pPr>
      <w:pStyle w:val="Header"/>
    </w:pPr>
    <w:r>
      <w:t>CS for SB 601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D3F6F" w14:textId="6B99B909" w:rsidR="00C545C4" w:rsidRPr="00C545C4" w:rsidRDefault="00C545C4" w:rsidP="00C545C4">
    <w:pPr>
      <w:pStyle w:val="Header"/>
    </w:pPr>
    <w:r>
      <w:t>CS for SB 601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557B5" w14:textId="0CFB75F0" w:rsidR="00C545C4" w:rsidRPr="00C545C4" w:rsidRDefault="00C545C4" w:rsidP="00C545C4">
    <w:pPr>
      <w:pStyle w:val="Header"/>
    </w:pPr>
    <w:r>
      <w:t>CS for SB 601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930890752">
    <w:abstractNumId w:val="0"/>
  </w:num>
  <w:num w:numId="2" w16cid:durableId="3588958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0674"/>
    <w:rsid w:val="00002112"/>
    <w:rsid w:val="0000526A"/>
    <w:rsid w:val="0002531A"/>
    <w:rsid w:val="00085D22"/>
    <w:rsid w:val="000C5C77"/>
    <w:rsid w:val="0010070F"/>
    <w:rsid w:val="001112C6"/>
    <w:rsid w:val="0012246A"/>
    <w:rsid w:val="0012782E"/>
    <w:rsid w:val="0015112E"/>
    <w:rsid w:val="001552E7"/>
    <w:rsid w:val="001566B4"/>
    <w:rsid w:val="00175B38"/>
    <w:rsid w:val="001C279E"/>
    <w:rsid w:val="001D459E"/>
    <w:rsid w:val="001F39A0"/>
    <w:rsid w:val="00215BD7"/>
    <w:rsid w:val="00227B39"/>
    <w:rsid w:val="00230763"/>
    <w:rsid w:val="00251E66"/>
    <w:rsid w:val="0027011C"/>
    <w:rsid w:val="00274200"/>
    <w:rsid w:val="00275740"/>
    <w:rsid w:val="002A0269"/>
    <w:rsid w:val="002E5FC5"/>
    <w:rsid w:val="00301F44"/>
    <w:rsid w:val="00303684"/>
    <w:rsid w:val="003143F5"/>
    <w:rsid w:val="00314854"/>
    <w:rsid w:val="00365920"/>
    <w:rsid w:val="003C51CD"/>
    <w:rsid w:val="003D4251"/>
    <w:rsid w:val="00410475"/>
    <w:rsid w:val="004247A2"/>
    <w:rsid w:val="00424AA1"/>
    <w:rsid w:val="004B2795"/>
    <w:rsid w:val="004C12FD"/>
    <w:rsid w:val="004C13DD"/>
    <w:rsid w:val="004E23EA"/>
    <w:rsid w:val="004E3441"/>
    <w:rsid w:val="004F7E08"/>
    <w:rsid w:val="00535C8E"/>
    <w:rsid w:val="00564FB1"/>
    <w:rsid w:val="00571DC3"/>
    <w:rsid w:val="00587979"/>
    <w:rsid w:val="005A5366"/>
    <w:rsid w:val="005E7A50"/>
    <w:rsid w:val="005F0674"/>
    <w:rsid w:val="00637E73"/>
    <w:rsid w:val="006471C6"/>
    <w:rsid w:val="006565E8"/>
    <w:rsid w:val="006865E9"/>
    <w:rsid w:val="00691F3E"/>
    <w:rsid w:val="00694BFB"/>
    <w:rsid w:val="006A106B"/>
    <w:rsid w:val="006C523D"/>
    <w:rsid w:val="006D4036"/>
    <w:rsid w:val="00786F3D"/>
    <w:rsid w:val="007E02CF"/>
    <w:rsid w:val="007F1CF5"/>
    <w:rsid w:val="0081249D"/>
    <w:rsid w:val="00834EDE"/>
    <w:rsid w:val="008736AA"/>
    <w:rsid w:val="00897489"/>
    <w:rsid w:val="008D275D"/>
    <w:rsid w:val="008E01E4"/>
    <w:rsid w:val="009452E9"/>
    <w:rsid w:val="009452FC"/>
    <w:rsid w:val="00952402"/>
    <w:rsid w:val="00980327"/>
    <w:rsid w:val="00995DC9"/>
    <w:rsid w:val="009A1D97"/>
    <w:rsid w:val="009F1067"/>
    <w:rsid w:val="00A31E01"/>
    <w:rsid w:val="00A35B03"/>
    <w:rsid w:val="00A527AD"/>
    <w:rsid w:val="00A660B8"/>
    <w:rsid w:val="00A718CF"/>
    <w:rsid w:val="00A72E7C"/>
    <w:rsid w:val="00AA5443"/>
    <w:rsid w:val="00AC3B58"/>
    <w:rsid w:val="00AE48A0"/>
    <w:rsid w:val="00AE61BE"/>
    <w:rsid w:val="00AF09E0"/>
    <w:rsid w:val="00AF24BA"/>
    <w:rsid w:val="00B16F25"/>
    <w:rsid w:val="00B24422"/>
    <w:rsid w:val="00B76AD4"/>
    <w:rsid w:val="00B80C20"/>
    <w:rsid w:val="00B844FE"/>
    <w:rsid w:val="00BC562B"/>
    <w:rsid w:val="00C25CF0"/>
    <w:rsid w:val="00C33014"/>
    <w:rsid w:val="00C33434"/>
    <w:rsid w:val="00C34869"/>
    <w:rsid w:val="00C42EB6"/>
    <w:rsid w:val="00C545C4"/>
    <w:rsid w:val="00C72D4E"/>
    <w:rsid w:val="00C85096"/>
    <w:rsid w:val="00CB20EF"/>
    <w:rsid w:val="00CD12CB"/>
    <w:rsid w:val="00CD36CF"/>
    <w:rsid w:val="00CD3F81"/>
    <w:rsid w:val="00CF1DCA"/>
    <w:rsid w:val="00D11C2C"/>
    <w:rsid w:val="00D378F8"/>
    <w:rsid w:val="00D54447"/>
    <w:rsid w:val="00D579FC"/>
    <w:rsid w:val="00D66DE0"/>
    <w:rsid w:val="00D73976"/>
    <w:rsid w:val="00D74750"/>
    <w:rsid w:val="00DE526B"/>
    <w:rsid w:val="00DF199D"/>
    <w:rsid w:val="00DF4120"/>
    <w:rsid w:val="00DF62A6"/>
    <w:rsid w:val="00E01542"/>
    <w:rsid w:val="00E365F1"/>
    <w:rsid w:val="00E62F48"/>
    <w:rsid w:val="00E831B3"/>
    <w:rsid w:val="00E908F8"/>
    <w:rsid w:val="00EB203E"/>
    <w:rsid w:val="00EE70CB"/>
    <w:rsid w:val="00EF296A"/>
    <w:rsid w:val="00EF6030"/>
    <w:rsid w:val="00F14BC4"/>
    <w:rsid w:val="00F23775"/>
    <w:rsid w:val="00F41CA2"/>
    <w:rsid w:val="00F443C0"/>
    <w:rsid w:val="00F50749"/>
    <w:rsid w:val="00F62EFB"/>
    <w:rsid w:val="00F939A4"/>
    <w:rsid w:val="00FA7B09"/>
    <w:rsid w:val="00FC088A"/>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759166"/>
  <w15:chartTrackingRefBased/>
  <w15:docId w15:val="{B3CF3D44-E7F8-4E1D-965A-309F5A369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qFormat="1"/>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qFormat/>
    <w:rsid w:val="004F7E08"/>
    <w:pPr>
      <w:spacing w:after="160" w:line="259" w:lineRule="auto"/>
    </w:pPr>
    <w:rPr>
      <w:rFonts w:asciiTheme="minorHAnsi" w:hAnsiTheme="minorHAnsi"/>
      <w:color w:val="auto"/>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spacing w:after="0" w:line="480" w:lineRule="auto"/>
      <w:ind w:left="720"/>
      <w:contextualSpacing/>
    </w:pPr>
    <w:rPr>
      <w:rFonts w:ascii="Arial" w:hAnsi="Arial"/>
      <w:color w:val="000000" w:themeColor="text1"/>
      <w:kern w:val="0"/>
      <w14:ligatures w14:val="none"/>
    </w:r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pPr>
      <w:spacing w:after="0" w:line="480" w:lineRule="auto"/>
    </w:pPr>
    <w:rPr>
      <w:rFonts w:ascii="Arial" w:hAnsi="Arial"/>
      <w:color w:val="000000" w:themeColor="text1"/>
      <w:kern w:val="0"/>
      <w14:ligatures w14:val="none"/>
    </w:rPr>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rsid w:val="00EF6030"/>
    <w:pPr>
      <w:tabs>
        <w:tab w:val="center" w:pos="4680"/>
        <w:tab w:val="right" w:pos="9360"/>
      </w:tabs>
      <w:spacing w:after="0" w:line="240" w:lineRule="auto"/>
    </w:pPr>
    <w:rPr>
      <w:rFonts w:ascii="Arial" w:hAnsi="Arial"/>
      <w:color w:val="000000" w:themeColor="text1"/>
      <w:kern w:val="0"/>
      <w14:ligatures w14:val="none"/>
    </w:r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rsid w:val="00EF6030"/>
  </w:style>
  <w:style w:type="paragraph" w:styleId="Footer">
    <w:name w:val="footer"/>
    <w:basedOn w:val="Normal"/>
    <w:link w:val="FooterChar"/>
    <w:uiPriority w:val="99"/>
    <w:rsid w:val="00EF6030"/>
    <w:pPr>
      <w:tabs>
        <w:tab w:val="center" w:pos="4680"/>
        <w:tab w:val="right" w:pos="9360"/>
      </w:tabs>
      <w:spacing w:after="0" w:line="240" w:lineRule="auto"/>
    </w:pPr>
    <w:rPr>
      <w:rFonts w:ascii="Arial" w:hAnsi="Arial"/>
      <w:color w:val="000000" w:themeColor="text1"/>
      <w:kern w:val="0"/>
      <w14:ligatures w14:val="none"/>
    </w:r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link w:val="ChapterHeadingChar"/>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styleId="PageNumber">
    <w:name w:val="page number"/>
    <w:basedOn w:val="DefaultParagraphFont"/>
    <w:uiPriority w:val="99"/>
    <w:semiHidden/>
    <w:locked/>
    <w:rsid w:val="00C545C4"/>
  </w:style>
  <w:style w:type="character" w:customStyle="1" w:styleId="ChapterHeadingChar">
    <w:name w:val="Chapter Heading Char"/>
    <w:link w:val="ChapterHeading"/>
    <w:rsid w:val="004F7E08"/>
    <w:rPr>
      <w:rFonts w:eastAsia="Calibri"/>
      <w:b/>
      <w:caps/>
      <w:color w:val="000000"/>
      <w:sz w:val="28"/>
    </w:rPr>
  </w:style>
  <w:style w:type="character" w:customStyle="1" w:styleId="ArticleHeadingChar">
    <w:name w:val="Article Heading Char"/>
    <w:link w:val="ArticleHeading"/>
    <w:rsid w:val="004F7E08"/>
    <w:rPr>
      <w:rFonts w:eastAsia="Calibri"/>
      <w:b/>
      <w:caps/>
      <w:color w:val="000000"/>
      <w:sz w:val="24"/>
    </w:rPr>
  </w:style>
  <w:style w:type="character" w:customStyle="1" w:styleId="SectionBodyChar">
    <w:name w:val="Section Body Char"/>
    <w:link w:val="SectionBody"/>
    <w:rsid w:val="004F7E08"/>
    <w:rPr>
      <w:rFonts w:eastAsia="Calibri"/>
      <w:color w:val="000000"/>
    </w:rPr>
  </w:style>
  <w:style w:type="character" w:customStyle="1" w:styleId="SectionHeadingChar">
    <w:name w:val="Section Heading Char"/>
    <w:link w:val="SectionHeading"/>
    <w:rsid w:val="004F7E08"/>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footer" Target="footer7.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footer" Target="footer3.xml"/><Relationship Id="rId19" Type="http://schemas.openxmlformats.org/officeDocument/2006/relationships/footer" Target="footer9.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4FE052CCD864C34BE7AB3246C35499B"/>
        <w:category>
          <w:name w:val="General"/>
          <w:gallery w:val="placeholder"/>
        </w:category>
        <w:types>
          <w:type w:val="bbPlcHdr"/>
        </w:types>
        <w:behaviors>
          <w:behavior w:val="content"/>
        </w:behaviors>
        <w:guid w:val="{1820D78F-8013-4FAA-9756-4DBE7D4FB460}"/>
      </w:docPartPr>
      <w:docPartBody>
        <w:p w:rsidR="00D57893" w:rsidRDefault="00D57893">
          <w:pPr>
            <w:pStyle w:val="D4FE052CCD864C34BE7AB3246C35499B"/>
          </w:pPr>
          <w:r w:rsidRPr="00B844FE">
            <w:t>[Type here]</w:t>
          </w:r>
        </w:p>
      </w:docPartBody>
    </w:docPart>
    <w:docPart>
      <w:docPartPr>
        <w:name w:val="5597D9E26DCC4C3E8FCCFE2E6B2CDBC9"/>
        <w:category>
          <w:name w:val="General"/>
          <w:gallery w:val="placeholder"/>
        </w:category>
        <w:types>
          <w:type w:val="bbPlcHdr"/>
        </w:types>
        <w:behaviors>
          <w:behavior w:val="content"/>
        </w:behaviors>
        <w:guid w:val="{EE8B358F-CB93-4F0A-BF1D-2CC6EB4F342C}"/>
      </w:docPartPr>
      <w:docPartBody>
        <w:p w:rsidR="00D57893" w:rsidRDefault="00D57893">
          <w:pPr>
            <w:pStyle w:val="5597D9E26DCC4C3E8FCCFE2E6B2CDBC9"/>
          </w:pPr>
          <w:r w:rsidRPr="00B844FE">
            <w:t>Number</w:t>
          </w:r>
        </w:p>
      </w:docPartBody>
    </w:docPart>
    <w:docPart>
      <w:docPartPr>
        <w:name w:val="B5DA62DD4A8A44E88FA93B820EE390C6"/>
        <w:category>
          <w:name w:val="General"/>
          <w:gallery w:val="placeholder"/>
        </w:category>
        <w:types>
          <w:type w:val="bbPlcHdr"/>
        </w:types>
        <w:behaviors>
          <w:behavior w:val="content"/>
        </w:behaviors>
        <w:guid w:val="{249BC9D6-533B-442B-BF93-EDD3930274F8}"/>
      </w:docPartPr>
      <w:docPartBody>
        <w:p w:rsidR="00D57893" w:rsidRDefault="00D57893">
          <w:pPr>
            <w:pStyle w:val="B5DA62DD4A8A44E88FA93B820EE390C6"/>
          </w:pPr>
          <w:r>
            <w:rPr>
              <w:rStyle w:val="PlaceholderText"/>
            </w:rPr>
            <w:t>Enter Committee</w:t>
          </w:r>
        </w:p>
      </w:docPartBody>
    </w:docPart>
    <w:docPart>
      <w:docPartPr>
        <w:name w:val="BBCD3DC62AA2418782513BADD4EAD79D"/>
        <w:category>
          <w:name w:val="General"/>
          <w:gallery w:val="placeholder"/>
        </w:category>
        <w:types>
          <w:type w:val="bbPlcHdr"/>
        </w:types>
        <w:behaviors>
          <w:behavior w:val="content"/>
        </w:behaviors>
        <w:guid w:val="{BD89ACFC-D06E-476C-B25F-D137226043FF}"/>
      </w:docPartPr>
      <w:docPartBody>
        <w:p w:rsidR="00D57893" w:rsidRDefault="00D57893">
          <w:pPr>
            <w:pStyle w:val="BBCD3DC62AA2418782513BADD4EAD79D"/>
          </w:pPr>
          <w:r>
            <w:rPr>
              <w:rStyle w:val="PlaceholderText"/>
            </w:rPr>
            <w:t>January 10, 2024</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71C7"/>
    <w:rsid w:val="004771C7"/>
    <w:rsid w:val="006D4701"/>
    <w:rsid w:val="00D578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0EA7938CE78469BA166EAAF1639F329">
    <w:name w:val="20EA7938CE78469BA166EAAF1639F329"/>
  </w:style>
  <w:style w:type="paragraph" w:customStyle="1" w:styleId="D4FE052CCD864C34BE7AB3246C35499B">
    <w:name w:val="D4FE052CCD864C34BE7AB3246C35499B"/>
  </w:style>
  <w:style w:type="paragraph" w:customStyle="1" w:styleId="5597D9E26DCC4C3E8FCCFE2E6B2CDBC9">
    <w:name w:val="5597D9E26DCC4C3E8FCCFE2E6B2CDBC9"/>
  </w:style>
  <w:style w:type="paragraph" w:customStyle="1" w:styleId="00DDB324D3B64FB990ED04BE6095C9BE">
    <w:name w:val="00DDB324D3B64FB990ED04BE6095C9BE"/>
    <w:rsid w:val="00D57893"/>
  </w:style>
  <w:style w:type="character" w:styleId="PlaceholderText">
    <w:name w:val="Placeholder Text"/>
    <w:basedOn w:val="DefaultParagraphFont"/>
    <w:uiPriority w:val="99"/>
    <w:semiHidden/>
    <w:rsid w:val="004771C7"/>
    <w:rPr>
      <w:color w:val="808080"/>
    </w:rPr>
  </w:style>
  <w:style w:type="paragraph" w:customStyle="1" w:styleId="B5DA62DD4A8A44E88FA93B820EE390C6">
    <w:name w:val="B5DA62DD4A8A44E88FA93B820EE390C6"/>
  </w:style>
  <w:style w:type="paragraph" w:customStyle="1" w:styleId="BBCD3DC62AA2418782513BADD4EAD79D">
    <w:name w:val="BBCD3DC62AA2418782513BADD4EAD79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51</TotalTime>
  <Pages>4</Pages>
  <Words>878</Words>
  <Characters>4676</Characters>
  <Application>Microsoft Office Word</Application>
  <DocSecurity>0</DocSecurity>
  <Lines>38</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Adair.Sankoff</dc:creator>
  <cp:keywords/>
  <dc:description/>
  <cp:lastModifiedBy>Angie Richardson</cp:lastModifiedBy>
  <cp:revision>7</cp:revision>
  <cp:lastPrinted>2024-02-29T01:43:00Z</cp:lastPrinted>
  <dcterms:created xsi:type="dcterms:W3CDTF">2024-02-26T21:54:00Z</dcterms:created>
  <dcterms:modified xsi:type="dcterms:W3CDTF">2024-02-29T01:49:00Z</dcterms:modified>
</cp:coreProperties>
</file>